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0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220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MUDANÇA DA ESTRADA EM FRENTE À PROPRIEDADE DE DONA ARACI FERREIRA LINS.</w:t>
      </w:r>
    </w:p>
    <w:p w:rsidR="00000000" w:rsidDel="00000000" w:rsidP="00000000" w:rsidRDefault="00000000" w:rsidRPr="00000000" w14:paraId="00000008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JUSTIFICATIVA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Atualmente, existe um triângulo que corta o terreno da referida propriedade, o que dificulta o acesso e a utilização adequada do espaço por parte da dona Araci. </w:t>
      </w:r>
    </w:p>
    <w:p w:rsidR="00000000" w:rsidDel="00000000" w:rsidP="00000000" w:rsidRDefault="00000000" w:rsidRPr="00000000" w14:paraId="00000009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mudança da estrada para uma nova configuração permitirá que a senhora Araci utilize sua propriedade de forma mais eficiente e segura, além de contribuir para a melhoria das condições de tráfego na região.</w:t>
      </w:r>
    </w:p>
    <w:p w:rsidR="00000000" w:rsidDel="00000000" w:rsidP="00000000" w:rsidRDefault="00000000" w:rsidRPr="00000000" w14:paraId="0000000A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bookmarkStart w:colFirst="0" w:colLast="0" w:name="_heading=h.kambo36prjv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27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maio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Vereadora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 Câmara Municipal de Doutor Ulysses – Paraná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3664-1113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+5zgqG69TsymTYCdO5WfIO8BmA==">CgMxLjAyDmgua2FtYm8zNnByanZkOAByITE0OHJwU2tHRmlHa3BQWHoxaEd5QkF4N1RQX3B0RXBnMQ==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2025-03-11T17:54:00Z</dcterms:created>
</cp:coreProperties>
</file>