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274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SOLICITAÇÃO DE CONSTRUÇÃO DE BUEIRO NO BAIRRO CARAGUATÁ.</w:t>
      </w:r>
    </w:p>
    <w:p w:rsidR="00000000" w:rsidDel="00000000" w:rsidP="00000000" w:rsidRDefault="00000000" w:rsidRPr="00000000" w14:paraId="00000008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A solicitação se faz necessária devido ao recorrente alagamento da residência durante os períodos de chuva, causado pela ausência de drenagem adequada no local. </w:t>
      </w:r>
    </w:p>
    <w:p w:rsidR="00000000" w:rsidDel="00000000" w:rsidP="00000000" w:rsidRDefault="00000000" w:rsidRPr="00000000" w14:paraId="00000009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bueiro no local permitirá o correto escoamento das águas pluviais, evitando novos alagamentos e contribuindo significativamente para a qualidade de vida do morador da região.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Citamos como referência a residência do senhor Valdivino Rodrigues de Mello.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setembro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bookmarkStart w:colFirst="0" w:colLast="0" w:name="_heading=h.8e1u1vju2rz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yxz3ge5n4y4t" w:id="1"/>
      <w:bookmarkEnd w:id="1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dvytfE2A9L4SwQN0niqMempgA==">CgMxLjAyDmguOGUxdTF2anUycnp6Mg5oLnl4ejNnZTVuNHk0dDgAciExWXU3enk3WHJYcFZWQnZjQ1NONHJsdTJGRTFUS04zbWk=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