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Câmara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206/202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SOLICITAÇÃO DE AUMENTO DA INSALUBRIDADE EM 20% SOBRE O SALÁRIO BASE DOS AGENTES COMUNITÁRIOS DE SAÚDE (ACS).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Os agentes comunitários de saúde realizam visitas domiciliares e atendem a populações em ambientes que muitas vezes apresentam condições insalubres, como a presença de doenças transmissíveis e falta de infraestrutura adequada. Essa exposição constante aumenta o risco de contaminação e outras complicações à saúde dos profissionais. Diante do exposto, solicito que essa demanda seja analisada com atenção e que o aumento da insalubridade seja implementado sobre o salário base dos (ASC) de R$ 3036,00, garantindo assim melhores condições para os agentes comunitários de saúde.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06 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right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ADELSON DA CONCEIÇÃO GELIET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                                         Vereador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Po198E91k0mji1mZARnTDhL0Q==">CgMxLjAyCGguZ2pkZ3hzOAByITF4YnVJcVQ1MHBZWGdtMy1tQllfT0NsMUNqZVFrSFl1WA==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