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221/202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SOLICITO REITERAÇÃO DO REQUERIMENTO N°090/2025 E  ALTERAÇÃO NA LEI 002/2014 SOBRE PAGAMENTO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DIÁRIAS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DOS MOTORISTAS.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bookmarkStart w:colFirst="0" w:colLast="0" w:name="_heading=h.xkaeccyro4l5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Venho por meio deste requerimento solicitar a reiteração do requerimento N°090/2025 e verificação para alteração na Lei 002/2025 referente ao valor das diárias destinadas aos motoristas que se deslocam para outras cidades em função de suas atividades profissionais, mesmo quando a distância percorrida não atinge os 130 km.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revisão do valor das diárias permitirá uma compensação mais justa e adequada para os motoristas, garantindo que eles possam desempenhar suas funções. Além disso, essa mudança contribuirá para a motivação e valorização dos profissionais que atuam em nossa administração.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27 de </w:t>
      </w:r>
      <w:r w:rsidDel="00000000" w:rsidR="00000000" w:rsidRPr="00000000">
        <w:rPr>
          <w:sz w:val="24"/>
          <w:szCs w:val="24"/>
          <w:rtl w:val="0"/>
        </w:rPr>
        <w:t xml:space="preserve">maio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Vereador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iyAYIdnN1HZGdqaTjWwOS3pVA==">CgMxLjAyDmgueGthZWNjeXJvNGw1MghoLmdqZGd4czgAciExY0JnekVKejdLUm5CVklCVkxmV0dGYkVIdmJuWlNCSnE=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