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Gabinete do Vereador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jc w:val="center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EDIVAM SCHEFFER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bookmarkStart w:colFirst="0" w:colLast="0" w:name="_heading=h.7sblkdlw5jof" w:id="0"/>
      <w:bookmarkEnd w:id="0"/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227/202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INSTALAÇÃO DE ILUMINAÇÃO PÚBLICA NA ESTRADA QUE LIGA O CENTRO DA CIDADE AO BAIRRO CERRADO.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/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      JUSTIFICATIVA:</w:t>
      </w:r>
      <w:r w:rsidDel="00000000" w:rsidR="00000000" w:rsidRPr="00000000">
        <w:rPr>
          <w:rtl w:val="0"/>
        </w:rPr>
        <w:t xml:space="preserve"> Tal solicitação se faz necessária para melhor segurança de todos os usuários desta via, que frequentemente é utilizada por pedestres, ciclistas e motoristas.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/>
      </w:pPr>
      <w:r w:rsidDel="00000000" w:rsidR="00000000" w:rsidRPr="00000000">
        <w:rPr>
          <w:rtl w:val="0"/>
        </w:rPr>
        <w:t xml:space="preserve"> Uma iluminação eficiente contribuirá para a valorização da área e proporcionará maior conforto aos moradores e visitantes que transitam por essa rota, especialmente durante a noite. A presença de luzes adequadas também pode inibir comportamentos indesejados e promover um ambiente mais seguro para todos.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03 de </w:t>
      </w:r>
      <w:r w:rsidDel="00000000" w:rsidR="00000000" w:rsidRPr="00000000">
        <w:rPr>
          <w:sz w:val="24"/>
          <w:szCs w:val="24"/>
          <w:rtl w:val="0"/>
        </w:rPr>
        <w:t xml:space="preserve">junho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</w:t>
      </w:r>
    </w:p>
    <w:p w:rsidR="00000000" w:rsidDel="00000000" w:rsidP="00000000" w:rsidRDefault="00000000" w:rsidRPr="00000000" w14:paraId="0000000E">
      <w:pPr>
        <w:widowControl w:val="0"/>
        <w:spacing w:before="305" w:line="240" w:lineRule="auto"/>
        <w:ind w:right="-60"/>
        <w:jc w:val="center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EDIVAM SCHEFFER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right="-6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Vereador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Câmara Municipal de Doutor Ulysses – 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(041) 3664-1113</w:t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SjwOlWZmMrcDcGvG8RGt/XH5Kw==">CgMxLjAyDmguN3NibGtkbHc1am9mOAByITF4bjdhVXNpM3VzeXFpUXBjVkJVazJnZUhnemtiUGNGeA==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2025-02-24T11:41:00Z</dcterms:created>
</cp:coreProperties>
</file>