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ZENILDA IVONETE CHAMBERLAIN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26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INSTALAÇÃO DE UMA LOMBADA, NA BARRA O TEIXEIRA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instalação de uma lombada contribuirá significativamente para a redução da velocidade dos veículos que transitam pela Rua, tornando a travessia mais segura para todos e diminuindo riscos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Citamos como referência a Panificadora Rosinei Fitz Marta.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02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setembro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ZENILDA IVONETE CHAMBERLAIN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  Vereadora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3163-3117</w:t>
      </w:r>
      <w:r w:rsidDel="00000000" w:rsidR="00000000" w:rsidRPr="00000000">
        <w:rPr>
          <w:rtl w:val="0"/>
        </w:rPr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/zOzB2UwiGDiGPvTVjBcCrTvOQ==">CgMxLjA4AHIhMVFQUkhfM3U0N2RwMzJNbWoxa3FNYVREY0F1U1g5YXBI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2025-03-06T17:29:00Z</dcterms:created>
</cp:coreProperties>
</file>